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EB2" w:rsidRDefault="00835EB2" w:rsidP="00835EB2">
      <w:pPr>
        <w:suppressAutoHyphens w:val="0"/>
        <w:rPr>
          <w:rFonts w:eastAsia="Times New Roman" w:cs="Arial"/>
          <w:b/>
          <w:bCs/>
          <w:smallCaps/>
          <w:color w:val="903075"/>
          <w:sz w:val="28"/>
          <w:szCs w:val="28"/>
          <w:lang w:eastAsia="fr-FR"/>
        </w:rPr>
      </w:pPr>
      <w:r w:rsidRPr="008D5BCE">
        <w:rPr>
          <w:noProof/>
          <w:lang w:eastAsia="fr-FR"/>
        </w:rPr>
        <w:drawing>
          <wp:inline distT="0" distB="0" distL="0" distR="0">
            <wp:extent cx="1737360" cy="20650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EB2" w:rsidRDefault="00835EB2" w:rsidP="00835EB2">
      <w:pPr>
        <w:suppressAutoHyphens w:val="0"/>
        <w:jc w:val="center"/>
        <w:rPr>
          <w:rFonts w:eastAsia="Times New Roman" w:cs="Arial"/>
          <w:b/>
          <w:bCs/>
          <w:smallCaps/>
          <w:color w:val="903075"/>
          <w:sz w:val="28"/>
          <w:szCs w:val="28"/>
          <w:lang w:eastAsia="fr-FR"/>
        </w:rPr>
      </w:pPr>
    </w:p>
    <w:p w:rsidR="00835EB2" w:rsidRPr="00901E95" w:rsidRDefault="00835EB2" w:rsidP="00835EB2">
      <w:pPr>
        <w:suppressAutoHyphens w:val="0"/>
        <w:jc w:val="center"/>
        <w:rPr>
          <w:color w:val="903075"/>
          <w:sz w:val="28"/>
          <w:szCs w:val="28"/>
        </w:rPr>
      </w:pPr>
      <w:r w:rsidRPr="00901E95">
        <w:rPr>
          <w:rFonts w:eastAsia="Times New Roman" w:cs="Arial"/>
          <w:b/>
          <w:bCs/>
          <w:smallCaps/>
          <w:color w:val="903075"/>
          <w:sz w:val="28"/>
          <w:szCs w:val="28"/>
          <w:lang w:eastAsia="fr-FR"/>
        </w:rPr>
        <w:t>Responsabilité civile et pénale des associations et de leurs dirigeants</w:t>
      </w:r>
    </w:p>
    <w:p w:rsidR="00835EB2" w:rsidRDefault="00835EB2" w:rsidP="00835EB2">
      <w:pPr>
        <w:spacing w:before="100" w:after="159" w:line="251" w:lineRule="auto"/>
        <w:rPr>
          <w:rFonts w:eastAsia="Times New Roman" w:cs="Arial"/>
          <w:b/>
          <w:bCs/>
          <w:color w:val="000000"/>
          <w:sz w:val="24"/>
          <w:szCs w:val="24"/>
          <w:lang w:eastAsia="fr-FR"/>
        </w:rPr>
      </w:pPr>
      <w:r w:rsidRPr="009C4BED">
        <w:rPr>
          <w:rFonts w:eastAsia="Times New Roman" w:cs="Arial"/>
          <w:b/>
          <w:bCs/>
          <w:color w:val="000000"/>
          <w:sz w:val="24"/>
          <w:szCs w:val="24"/>
          <w:lang w:eastAsia="fr-FR"/>
        </w:rPr>
        <w:t xml:space="preserve">Durée : 6h </w:t>
      </w:r>
    </w:p>
    <w:p w:rsidR="00835EB2" w:rsidRPr="0081692D" w:rsidRDefault="00835EB2" w:rsidP="00835EB2">
      <w:pPr>
        <w:spacing w:before="100" w:after="159" w:line="251" w:lineRule="auto"/>
        <w:rPr>
          <w:rFonts w:eastAsia="Times New Roman" w:cs="Arial"/>
          <w:b/>
          <w:bCs/>
          <w:sz w:val="24"/>
          <w:szCs w:val="24"/>
          <w:lang w:eastAsia="fr-FR"/>
        </w:rPr>
      </w:pPr>
      <w:r>
        <w:rPr>
          <w:rFonts w:eastAsia="Times New Roman" w:cs="Arial"/>
          <w:b/>
          <w:bCs/>
          <w:sz w:val="24"/>
          <w:szCs w:val="24"/>
          <w:lang w:eastAsia="fr-FR"/>
        </w:rPr>
        <w:t xml:space="preserve">Date : </w:t>
      </w:r>
      <w:r>
        <w:rPr>
          <w:rFonts w:eastAsia="Times New Roman" w:cs="Arial"/>
          <w:b/>
          <w:bCs/>
          <w:sz w:val="24"/>
          <w:szCs w:val="24"/>
          <w:lang w:eastAsia="fr-FR"/>
        </w:rPr>
        <w:t>22 janvier</w:t>
      </w:r>
      <w:r>
        <w:rPr>
          <w:rFonts w:eastAsia="Times New Roman" w:cs="Arial"/>
          <w:b/>
          <w:bCs/>
          <w:sz w:val="24"/>
          <w:szCs w:val="24"/>
          <w:lang w:eastAsia="fr-FR"/>
        </w:rPr>
        <w:t xml:space="preserve"> 201</w:t>
      </w:r>
      <w:r w:rsidR="000020D6">
        <w:rPr>
          <w:rFonts w:eastAsia="Times New Roman" w:cs="Arial"/>
          <w:b/>
          <w:bCs/>
          <w:sz w:val="24"/>
          <w:szCs w:val="24"/>
          <w:lang w:eastAsia="fr-FR"/>
        </w:rPr>
        <w:t>9</w:t>
      </w:r>
      <w:bookmarkStart w:id="0" w:name="_GoBack"/>
      <w:bookmarkEnd w:id="0"/>
    </w:p>
    <w:p w:rsidR="00835EB2" w:rsidRPr="009C4BED" w:rsidRDefault="00835EB2" w:rsidP="00835EB2">
      <w:pPr>
        <w:spacing w:before="100" w:after="159" w:line="251" w:lineRule="auto"/>
      </w:pPr>
      <w:r w:rsidRPr="009C4BED">
        <w:rPr>
          <w:rFonts w:eastAsia="Times New Roman" w:cs="Arial"/>
          <w:b/>
          <w:bCs/>
          <w:sz w:val="24"/>
          <w:szCs w:val="24"/>
          <w:lang w:eastAsia="fr-FR"/>
        </w:rPr>
        <w:t>Objectifs</w:t>
      </w:r>
      <w:r>
        <w:rPr>
          <w:rFonts w:eastAsia="Times New Roman" w:cs="Arial"/>
          <w:b/>
          <w:bCs/>
          <w:sz w:val="24"/>
          <w:szCs w:val="24"/>
          <w:lang w:eastAsia="fr-FR"/>
        </w:rPr>
        <w:t xml:space="preserve"> </w:t>
      </w:r>
      <w:r w:rsidRPr="009C4BED">
        <w:rPr>
          <w:rFonts w:eastAsia="Times New Roman" w:cs="Arial"/>
          <w:b/>
          <w:bCs/>
          <w:sz w:val="24"/>
          <w:szCs w:val="24"/>
          <w:lang w:eastAsia="fr-FR"/>
        </w:rPr>
        <w:t>:</w:t>
      </w:r>
    </w:p>
    <w:p w:rsidR="00835EB2" w:rsidRPr="00E37CBE" w:rsidRDefault="00835EB2" w:rsidP="00835EB2">
      <w:pPr>
        <w:numPr>
          <w:ilvl w:val="0"/>
          <w:numId w:val="1"/>
        </w:numPr>
        <w:spacing w:before="100" w:after="100" w:line="288" w:lineRule="auto"/>
      </w:pPr>
      <w:r w:rsidRPr="00E37CBE">
        <w:rPr>
          <w:rFonts w:eastAsia="Times New Roman" w:cs="Arial"/>
          <w:color w:val="000000"/>
          <w:sz w:val="24"/>
          <w:szCs w:val="24"/>
          <w:lang w:eastAsia="fr-FR"/>
        </w:rPr>
        <w:t xml:space="preserve">Identifier les différents processus de mise en cause de la responsabilité civile et pénale de l'association et de la responsabilité personnelle de ses dirigeants, et les sanctions éventuelles </w:t>
      </w:r>
    </w:p>
    <w:p w:rsidR="00835EB2" w:rsidRPr="00E37CBE" w:rsidRDefault="00835EB2" w:rsidP="00835EB2">
      <w:pPr>
        <w:numPr>
          <w:ilvl w:val="0"/>
          <w:numId w:val="1"/>
        </w:numPr>
        <w:spacing w:before="100" w:after="100" w:line="288" w:lineRule="auto"/>
      </w:pPr>
      <w:r w:rsidRPr="009C4BED">
        <w:rPr>
          <w:rFonts w:eastAsia="Times New Roman" w:cs="Arial"/>
          <w:color w:val="000000"/>
          <w:sz w:val="24"/>
          <w:szCs w:val="24"/>
          <w:lang w:eastAsia="fr-FR"/>
        </w:rPr>
        <w:t>Déterminer les mesures de prévention des risques et d'organisations à mettre en œ</w:t>
      </w:r>
      <w:r>
        <w:rPr>
          <w:rFonts w:eastAsia="Times New Roman" w:cs="Arial"/>
          <w:color w:val="000000"/>
          <w:sz w:val="24"/>
          <w:szCs w:val="24"/>
          <w:lang w:eastAsia="fr-FR"/>
        </w:rPr>
        <w:t>uvre au sein de son association :</w:t>
      </w:r>
      <w:r w:rsidRPr="009C4BED">
        <w:rPr>
          <w:rFonts w:eastAsia="Times New Roman" w:cs="Arial"/>
          <w:color w:val="000000"/>
          <w:sz w:val="24"/>
          <w:szCs w:val="24"/>
          <w:lang w:eastAsia="fr-FR"/>
        </w:rPr>
        <w:t xml:space="preserve"> dans son fonctionnement, dans ses activités et dans ses rapports contractuels, </w:t>
      </w:r>
    </w:p>
    <w:p w:rsidR="00835EB2" w:rsidRPr="009C4BED" w:rsidRDefault="00835EB2" w:rsidP="00835EB2">
      <w:pPr>
        <w:numPr>
          <w:ilvl w:val="0"/>
          <w:numId w:val="1"/>
        </w:numPr>
        <w:spacing w:before="100" w:after="100" w:line="288" w:lineRule="auto"/>
      </w:pPr>
      <w:r w:rsidRPr="009C4BED">
        <w:rPr>
          <w:rFonts w:eastAsia="Times New Roman" w:cs="Arial"/>
          <w:color w:val="000000"/>
          <w:sz w:val="24"/>
          <w:szCs w:val="24"/>
          <w:lang w:eastAsia="fr-FR"/>
        </w:rPr>
        <w:t>Identifier les différents types de risques couverts par les assurances, le cadre juridique de leurs contrats</w:t>
      </w:r>
    </w:p>
    <w:p w:rsidR="00835EB2" w:rsidRPr="009C4BED" w:rsidRDefault="00835EB2" w:rsidP="00835EB2">
      <w:pPr>
        <w:numPr>
          <w:ilvl w:val="0"/>
          <w:numId w:val="1"/>
        </w:numPr>
        <w:spacing w:before="100" w:after="100" w:line="288" w:lineRule="auto"/>
      </w:pPr>
      <w:r w:rsidRPr="009C4BED">
        <w:rPr>
          <w:rFonts w:eastAsia="Times New Roman" w:cs="Arial"/>
          <w:color w:val="000000"/>
          <w:sz w:val="24"/>
          <w:szCs w:val="24"/>
          <w:lang w:eastAsia="fr-FR"/>
        </w:rPr>
        <w:t>Choisir une police d'assurance adaptée aux activités et aux différents participants</w:t>
      </w:r>
    </w:p>
    <w:p w:rsidR="00835EB2" w:rsidRPr="00242F3D" w:rsidRDefault="00835EB2" w:rsidP="00835EB2">
      <w:pPr>
        <w:numPr>
          <w:ilvl w:val="0"/>
          <w:numId w:val="1"/>
        </w:numPr>
        <w:spacing w:before="100" w:after="198" w:line="276" w:lineRule="auto"/>
        <w:jc w:val="both"/>
      </w:pPr>
      <w:r w:rsidRPr="009C4BED">
        <w:rPr>
          <w:rFonts w:eastAsia="Times New Roman" w:cs="Arial"/>
          <w:color w:val="000000"/>
          <w:sz w:val="24"/>
          <w:szCs w:val="24"/>
          <w:lang w:eastAsia="fr-FR"/>
        </w:rPr>
        <w:t>Identifier et savoir utiliser les sources d'informations juridiques et réglementaires disponibles</w:t>
      </w:r>
    </w:p>
    <w:p w:rsidR="00835EB2" w:rsidRPr="009C4BED" w:rsidRDefault="00835EB2" w:rsidP="00835EB2">
      <w:pPr>
        <w:spacing w:before="100" w:after="159" w:line="251" w:lineRule="auto"/>
        <w:ind w:left="720"/>
        <w:jc w:val="center"/>
      </w:pPr>
      <w:r w:rsidRPr="009C4BED">
        <w:rPr>
          <w:rFonts w:eastAsia="Times New Roman" w:cs="Arial"/>
          <w:b/>
          <w:bCs/>
          <w:smallCaps/>
          <w:sz w:val="24"/>
          <w:szCs w:val="24"/>
          <w:lang w:eastAsia="fr-FR"/>
        </w:rPr>
        <w:t>Programme</w:t>
      </w:r>
    </w:p>
    <w:p w:rsidR="00835EB2" w:rsidRPr="009C4BED" w:rsidRDefault="00835EB2" w:rsidP="00835EB2">
      <w:pPr>
        <w:spacing w:before="100" w:after="159" w:line="254" w:lineRule="auto"/>
      </w:pPr>
      <w:r w:rsidRPr="009C4BED">
        <w:rPr>
          <w:rFonts w:eastAsia="Times New Roman" w:cs="Arial"/>
          <w:b/>
          <w:bCs/>
          <w:sz w:val="24"/>
          <w:szCs w:val="24"/>
          <w:lang w:eastAsia="fr-FR"/>
        </w:rPr>
        <w:t>Responsabilité civile et pénale des associations</w:t>
      </w:r>
    </w:p>
    <w:p w:rsidR="00835EB2" w:rsidRPr="009C4BED" w:rsidRDefault="00835EB2" w:rsidP="00835EB2">
      <w:pPr>
        <w:numPr>
          <w:ilvl w:val="0"/>
          <w:numId w:val="2"/>
        </w:numPr>
        <w:spacing w:before="100" w:after="159" w:line="254" w:lineRule="auto"/>
        <w:rPr>
          <w:rFonts w:eastAsia="Times New Roman" w:cs="Arial"/>
          <w:sz w:val="24"/>
          <w:szCs w:val="24"/>
          <w:lang w:eastAsia="fr-FR"/>
        </w:rPr>
      </w:pPr>
      <w:r w:rsidRPr="009C4BED">
        <w:rPr>
          <w:rFonts w:eastAsia="Times New Roman" w:cs="Arial"/>
          <w:sz w:val="24"/>
          <w:szCs w:val="24"/>
          <w:lang w:eastAsia="fr-FR"/>
        </w:rPr>
        <w:t>Responsabilité civile, délictuelle et contractuelle </w:t>
      </w:r>
    </w:p>
    <w:p w:rsidR="00835EB2" w:rsidRPr="009C4BED" w:rsidRDefault="00835EB2" w:rsidP="00835EB2">
      <w:pPr>
        <w:numPr>
          <w:ilvl w:val="0"/>
          <w:numId w:val="3"/>
        </w:numPr>
        <w:spacing w:before="102"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9C4BED">
        <w:rPr>
          <w:rFonts w:eastAsia="Times New Roman" w:cs="Arial"/>
          <w:sz w:val="24"/>
          <w:szCs w:val="24"/>
          <w:lang w:eastAsia="fr-FR"/>
        </w:rPr>
        <w:t>Responsabilité de l'association envers ses membres et envers les tiers</w:t>
      </w:r>
    </w:p>
    <w:p w:rsidR="00835EB2" w:rsidRPr="009C4BED" w:rsidRDefault="00835EB2" w:rsidP="00835EB2">
      <w:pPr>
        <w:numPr>
          <w:ilvl w:val="0"/>
          <w:numId w:val="3"/>
        </w:numPr>
        <w:spacing w:before="102"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9C4BED">
        <w:rPr>
          <w:rFonts w:eastAsia="Times New Roman" w:cs="Arial"/>
          <w:sz w:val="24"/>
          <w:szCs w:val="24"/>
          <w:lang w:eastAsia="fr-FR"/>
        </w:rPr>
        <w:t>Obligation complémentaire de sécurité : de résultat ou de moyen</w:t>
      </w:r>
    </w:p>
    <w:p w:rsidR="00835EB2" w:rsidRPr="009C4BED" w:rsidRDefault="00835EB2" w:rsidP="00835EB2">
      <w:pPr>
        <w:numPr>
          <w:ilvl w:val="0"/>
          <w:numId w:val="3"/>
        </w:numPr>
        <w:spacing w:before="102"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9C4BED">
        <w:rPr>
          <w:rFonts w:eastAsia="Times New Roman" w:cs="Arial"/>
          <w:sz w:val="24"/>
          <w:szCs w:val="24"/>
          <w:lang w:eastAsia="fr-FR"/>
        </w:rPr>
        <w:t>Causes d’exonération, montant de la réparation et clauses limitatives de responsabilité</w:t>
      </w:r>
    </w:p>
    <w:p w:rsidR="00835EB2" w:rsidRPr="009C4BED" w:rsidRDefault="00835EB2" w:rsidP="00835EB2">
      <w:pPr>
        <w:numPr>
          <w:ilvl w:val="0"/>
          <w:numId w:val="4"/>
        </w:numPr>
        <w:spacing w:before="102"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9C4BED">
        <w:rPr>
          <w:rFonts w:eastAsia="Times New Roman" w:cs="Arial"/>
          <w:sz w:val="24"/>
          <w:szCs w:val="24"/>
          <w:lang w:eastAsia="fr-FR"/>
        </w:rPr>
        <w:t>Responsabilité pénale : Infractions imputables à l’association, exemples et sanctions</w:t>
      </w:r>
    </w:p>
    <w:p w:rsidR="00835EB2" w:rsidRPr="009C4BED" w:rsidRDefault="00835EB2" w:rsidP="00835EB2">
      <w:pPr>
        <w:numPr>
          <w:ilvl w:val="0"/>
          <w:numId w:val="5"/>
        </w:numPr>
        <w:spacing w:before="102"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9C4BED">
        <w:rPr>
          <w:rFonts w:eastAsia="Times New Roman" w:cs="Arial"/>
          <w:sz w:val="24"/>
          <w:szCs w:val="24"/>
          <w:lang w:eastAsia="fr-FR"/>
        </w:rPr>
        <w:t>Responsabilités civile et pénale cumulées</w:t>
      </w:r>
    </w:p>
    <w:p w:rsidR="00835EB2" w:rsidRPr="009C4BED" w:rsidRDefault="00835EB2" w:rsidP="00835EB2">
      <w:pPr>
        <w:spacing w:before="102" w:after="0" w:line="240" w:lineRule="auto"/>
        <w:rPr>
          <w:rFonts w:eastAsia="Times New Roman" w:cs="Arial"/>
          <w:sz w:val="24"/>
          <w:szCs w:val="24"/>
          <w:lang w:eastAsia="fr-FR"/>
        </w:rPr>
      </w:pPr>
    </w:p>
    <w:p w:rsidR="00835EB2" w:rsidRPr="009C4BED" w:rsidRDefault="00835EB2" w:rsidP="00835EB2">
      <w:pPr>
        <w:spacing w:before="102" w:after="0" w:line="240" w:lineRule="auto"/>
      </w:pPr>
      <w:r w:rsidRPr="009C4BED">
        <w:rPr>
          <w:rFonts w:eastAsia="Times New Roman" w:cs="Arial"/>
          <w:b/>
          <w:bCs/>
          <w:sz w:val="24"/>
          <w:szCs w:val="24"/>
          <w:lang w:eastAsia="fr-FR"/>
        </w:rPr>
        <w:t>Responsabilité civile et pénale des dirigeants associatifs</w:t>
      </w:r>
    </w:p>
    <w:p w:rsidR="00835EB2" w:rsidRPr="009C4BED" w:rsidRDefault="00835EB2" w:rsidP="00835EB2">
      <w:pPr>
        <w:numPr>
          <w:ilvl w:val="0"/>
          <w:numId w:val="6"/>
        </w:numPr>
        <w:spacing w:before="102"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9C4BED">
        <w:rPr>
          <w:rFonts w:eastAsia="Times New Roman" w:cs="Arial"/>
          <w:sz w:val="24"/>
          <w:szCs w:val="24"/>
          <w:lang w:eastAsia="fr-FR"/>
        </w:rPr>
        <w:t>Responsabilité civile des dirigeants : envers l’association et envers les tiers</w:t>
      </w:r>
    </w:p>
    <w:p w:rsidR="00835EB2" w:rsidRPr="009C4BED" w:rsidRDefault="00835EB2" w:rsidP="00835EB2">
      <w:pPr>
        <w:numPr>
          <w:ilvl w:val="0"/>
          <w:numId w:val="6"/>
        </w:numPr>
        <w:spacing w:before="102"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9C4BED">
        <w:rPr>
          <w:rFonts w:eastAsia="Times New Roman" w:cs="Arial"/>
          <w:sz w:val="24"/>
          <w:szCs w:val="24"/>
          <w:lang w:eastAsia="fr-FR"/>
        </w:rPr>
        <w:t>Responsabilité financière et fiscale des dirigeants</w:t>
      </w:r>
    </w:p>
    <w:p w:rsidR="00835EB2" w:rsidRPr="00835EB2" w:rsidRDefault="00835EB2" w:rsidP="00835EB2">
      <w:pPr>
        <w:numPr>
          <w:ilvl w:val="0"/>
          <w:numId w:val="6"/>
        </w:numPr>
        <w:spacing w:before="102"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9C4BED">
        <w:rPr>
          <w:rFonts w:eastAsia="Times New Roman" w:cs="Arial"/>
          <w:sz w:val="24"/>
          <w:szCs w:val="24"/>
          <w:lang w:eastAsia="fr-FR"/>
        </w:rPr>
        <w:t>Responsabilité pénale des dirigeants</w:t>
      </w:r>
    </w:p>
    <w:p w:rsidR="00835EB2" w:rsidRPr="009C4BED" w:rsidRDefault="00835EB2" w:rsidP="00835EB2">
      <w:pPr>
        <w:spacing w:before="102" w:after="0" w:line="240" w:lineRule="auto"/>
      </w:pPr>
      <w:r w:rsidRPr="009C4BED">
        <w:rPr>
          <w:rFonts w:eastAsia="Times New Roman" w:cs="Arial"/>
          <w:b/>
          <w:bCs/>
          <w:sz w:val="24"/>
          <w:szCs w:val="24"/>
          <w:lang w:eastAsia="fr-FR"/>
        </w:rPr>
        <w:t>Les Assurances</w:t>
      </w:r>
    </w:p>
    <w:p w:rsidR="00835EB2" w:rsidRPr="009C4BED" w:rsidRDefault="00835EB2" w:rsidP="00835EB2">
      <w:pPr>
        <w:numPr>
          <w:ilvl w:val="0"/>
          <w:numId w:val="7"/>
        </w:numPr>
        <w:spacing w:before="102"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9C4BED">
        <w:rPr>
          <w:rFonts w:eastAsia="Times New Roman" w:cs="Arial"/>
          <w:sz w:val="24"/>
          <w:szCs w:val="24"/>
          <w:lang w:eastAsia="fr-FR"/>
        </w:rPr>
        <w:t>Méthode d’évaluation des risques</w:t>
      </w:r>
    </w:p>
    <w:p w:rsidR="00835EB2" w:rsidRPr="009C4BED" w:rsidRDefault="00835EB2" w:rsidP="00835EB2">
      <w:pPr>
        <w:numPr>
          <w:ilvl w:val="0"/>
          <w:numId w:val="7"/>
        </w:numPr>
        <w:spacing w:before="102"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9C4BED">
        <w:rPr>
          <w:rFonts w:eastAsia="Times New Roman" w:cs="Arial"/>
          <w:sz w:val="24"/>
          <w:szCs w:val="24"/>
          <w:lang w:eastAsia="fr-FR"/>
        </w:rPr>
        <w:t>Le contrat d’assurance : règles contractuelles et risques couverts</w:t>
      </w:r>
    </w:p>
    <w:p w:rsidR="00835EB2" w:rsidRPr="009C4BED" w:rsidRDefault="00835EB2" w:rsidP="00835EB2">
      <w:pPr>
        <w:numPr>
          <w:ilvl w:val="0"/>
          <w:numId w:val="7"/>
        </w:numPr>
        <w:spacing w:before="102"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9C4BED">
        <w:rPr>
          <w:rFonts w:eastAsia="Times New Roman" w:cs="Arial"/>
          <w:sz w:val="24"/>
          <w:szCs w:val="24"/>
          <w:lang w:eastAsia="fr-FR"/>
        </w:rPr>
        <w:t>Les assurances obligatoires et non obligatoires mais conseillées</w:t>
      </w:r>
    </w:p>
    <w:p w:rsidR="00835EB2" w:rsidRDefault="00835EB2" w:rsidP="00835EB2">
      <w:pPr>
        <w:numPr>
          <w:ilvl w:val="0"/>
          <w:numId w:val="7"/>
        </w:numPr>
        <w:spacing w:before="102"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9C4BED">
        <w:rPr>
          <w:rFonts w:eastAsia="Times New Roman" w:cs="Arial"/>
          <w:sz w:val="24"/>
          <w:szCs w:val="24"/>
          <w:lang w:eastAsia="fr-FR"/>
        </w:rPr>
        <w:t>L’assurance des biens de l’association et la protection des personnes</w:t>
      </w:r>
    </w:p>
    <w:p w:rsidR="00835EB2" w:rsidRDefault="00835EB2" w:rsidP="00835EB2">
      <w:pPr>
        <w:spacing w:before="102" w:after="0" w:line="240" w:lineRule="auto"/>
        <w:rPr>
          <w:rFonts w:eastAsia="Times New Roman" w:cs="Arial"/>
          <w:sz w:val="24"/>
          <w:szCs w:val="24"/>
          <w:lang w:eastAsia="fr-FR"/>
        </w:rPr>
      </w:pPr>
    </w:p>
    <w:p w:rsidR="00835EB2" w:rsidRDefault="00835EB2" w:rsidP="00835EB2">
      <w:pPr>
        <w:spacing w:before="102" w:after="0" w:line="240" w:lineRule="auto"/>
        <w:rPr>
          <w:rFonts w:eastAsia="Times New Roman" w:cs="Arial"/>
          <w:sz w:val="24"/>
          <w:szCs w:val="24"/>
          <w:lang w:eastAsia="fr-FR"/>
        </w:rPr>
      </w:pPr>
    </w:p>
    <w:p w:rsidR="00835EB2" w:rsidRDefault="00835EB2" w:rsidP="00835EB2">
      <w:pPr>
        <w:spacing w:before="102" w:after="0" w:line="240" w:lineRule="auto"/>
        <w:rPr>
          <w:rFonts w:eastAsia="Times New Roman" w:cs="Arial"/>
          <w:sz w:val="24"/>
          <w:szCs w:val="24"/>
          <w:lang w:eastAsia="fr-FR"/>
        </w:rPr>
      </w:pPr>
    </w:p>
    <w:p w:rsidR="00737FA5" w:rsidRDefault="000020D6"/>
    <w:sectPr w:rsidR="00737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D75DE"/>
    <w:multiLevelType w:val="multilevel"/>
    <w:tmpl w:val="49C0B76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36B918CF"/>
    <w:multiLevelType w:val="multilevel"/>
    <w:tmpl w:val="D0107CD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413B2A0B"/>
    <w:multiLevelType w:val="multilevel"/>
    <w:tmpl w:val="6AD4B14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4ED80A03"/>
    <w:multiLevelType w:val="multilevel"/>
    <w:tmpl w:val="91F29F3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58463335"/>
    <w:multiLevelType w:val="multilevel"/>
    <w:tmpl w:val="7F126D6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58835B92"/>
    <w:multiLevelType w:val="multilevel"/>
    <w:tmpl w:val="5B227D7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76F0281D"/>
    <w:multiLevelType w:val="multilevel"/>
    <w:tmpl w:val="42063FE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EB2"/>
    <w:rsid w:val="000020D6"/>
    <w:rsid w:val="003D71DD"/>
    <w:rsid w:val="00494489"/>
    <w:rsid w:val="0083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3F049"/>
  <w15:chartTrackingRefBased/>
  <w15:docId w15:val="{21DAD9CF-0C77-4563-A615-7109DC76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35EB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2018-12-13T14:05:00Z</dcterms:created>
  <dcterms:modified xsi:type="dcterms:W3CDTF">2018-12-13T14:08:00Z</dcterms:modified>
</cp:coreProperties>
</file>